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DA" w:rsidRDefault="00AF56DA">
      <w:bookmarkStart w:id="0" w:name="_GoBack"/>
      <w:bookmarkEnd w:id="0"/>
    </w:p>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00392F" w:rsidRPr="0000392F" w:rsidRDefault="0000392F" w:rsidP="0000392F">
      <w:pPr>
        <w:jc w:val="both"/>
        <w:rPr>
          <w:rFonts w:ascii="Arial" w:hAnsi="Arial" w:cs="Arial"/>
          <w:b/>
          <w:bCs/>
          <w:lang w:val="eu-ES" w:eastAsia="eu-ES"/>
        </w:rPr>
      </w:pPr>
      <w:r w:rsidRPr="0000392F">
        <w:rPr>
          <w:rFonts w:ascii="Arial" w:hAnsi="Arial" w:cs="Arial"/>
          <w:b/>
          <w:lang w:val="eu-ES" w:eastAsia="eu-ES"/>
        </w:rPr>
        <w:t xml:space="preserve">EUSKAL FEDERAZIOAREN ETA DOPINAREN AURKAKO EUSKAL AGENTZIAREN ARTEKO LANKIDETZA PROTOKOLOA </w:t>
      </w:r>
    </w:p>
    <w:p w:rsidR="0000392F" w:rsidRPr="0000392F" w:rsidRDefault="0000392F" w:rsidP="0000392F">
      <w:pPr>
        <w:jc w:val="both"/>
        <w:rPr>
          <w:rFonts w:ascii="Arial" w:hAnsi="Arial" w:cs="Arial"/>
          <w:lang w:val="eu-ES" w:eastAsia="eu-ES"/>
        </w:rPr>
      </w:pPr>
    </w:p>
    <w:p w:rsidR="0000392F" w:rsidRPr="0000392F" w:rsidRDefault="0000392F" w:rsidP="0000392F">
      <w:pPr>
        <w:jc w:val="right"/>
        <w:rPr>
          <w:rFonts w:ascii="Arial" w:hAnsi="Arial" w:cs="Arial"/>
          <w:lang w:val="eu-ES" w:eastAsia="eu-ES"/>
        </w:rPr>
      </w:pPr>
      <w:r w:rsidRPr="0000392F">
        <w:rPr>
          <w:rFonts w:ascii="Arial" w:hAnsi="Arial" w:cs="Arial"/>
          <w:lang w:val="eu-ES" w:eastAsia="eu-ES"/>
        </w:rPr>
        <w:t>Vitoria – Gasteiz, 2015eko .............aren ...(a)</w:t>
      </w:r>
    </w:p>
    <w:p w:rsidR="0000392F" w:rsidRPr="0000392F" w:rsidRDefault="0000392F" w:rsidP="0000392F">
      <w:pPr>
        <w:jc w:val="both"/>
        <w:rPr>
          <w:rFonts w:ascii="Arial" w:hAnsi="Arial" w:cs="Arial"/>
          <w:lang w:val="eu-ES" w:eastAsia="eu-ES"/>
        </w:rPr>
      </w:pPr>
    </w:p>
    <w:p w:rsidR="0000392F" w:rsidRPr="0000392F" w:rsidRDefault="0000392F" w:rsidP="0000392F">
      <w:pPr>
        <w:jc w:val="center"/>
        <w:rPr>
          <w:rFonts w:ascii="Arial" w:hAnsi="Arial" w:cs="Arial"/>
          <w:b/>
          <w:bCs/>
          <w:lang w:val="eu-ES" w:eastAsia="eu-ES"/>
        </w:rPr>
      </w:pPr>
      <w:r w:rsidRPr="0000392F">
        <w:rPr>
          <w:rFonts w:ascii="Arial" w:hAnsi="Arial" w:cs="Arial"/>
          <w:b/>
          <w:lang w:val="eu-ES" w:eastAsia="eu-ES"/>
        </w:rPr>
        <w:t>BILDU DIRA</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cs="Arial"/>
          <w:b/>
          <w:lang w:val="eu-ES" w:eastAsia="eu-ES"/>
        </w:rPr>
        <w:t>-------------- JAUNA/ANDREA,</w:t>
      </w:r>
      <w:r w:rsidRPr="0000392F">
        <w:rPr>
          <w:rFonts w:ascii="Arial" w:hAnsi="Arial" w:cs="Arial"/>
          <w:lang w:val="eu-ES" w:eastAsia="eu-ES"/>
        </w:rPr>
        <w:t xml:space="preserve"> </w:t>
      </w:r>
      <w:r w:rsidRPr="0000392F">
        <w:rPr>
          <w:rFonts w:ascii="Arial" w:hAnsi="Arial" w:cs="Arial"/>
          <w:b/>
          <w:lang w:val="eu-ES" w:eastAsia="eu-ES"/>
        </w:rPr>
        <w:t>---------------------(E)KO EUSKAL FEDERAZIOAREN</w:t>
      </w:r>
      <w:r w:rsidRPr="0000392F">
        <w:rPr>
          <w:rFonts w:ascii="Arial" w:hAnsi="Arial" w:cs="Arial"/>
          <w:lang w:val="eu-ES" w:eastAsia="eu-ES"/>
        </w:rPr>
        <w:t xml:space="preserve"> izenean eta hura ordezkatuz (aurrerantzean Euskal Federazioa). Federazioa Euskadiko Kirol Elkarteen Erregistroan inskribatutako erakundea da (egoitza:  ----------------------------, eta IFK zenbakia: -----------------). Erakundeko presidente gisa esku hartu du, eta bere egin ditu erakundearen estatutuek ematen dizkioten ordezkaritza-ahalmenak eta Euskadiko kirol-federazioei buruzko urtarrilaren 31ko 16/2006 Dekretuaren 100. artikuluak ematen dizkionak.</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cs="Arial"/>
          <w:b/>
          <w:lang w:val="eu-ES" w:eastAsia="eu-ES"/>
        </w:rPr>
        <w:t>JON REDONDO LERTXUNDI JAUNA,</w:t>
      </w:r>
      <w:r w:rsidRPr="0000392F">
        <w:rPr>
          <w:rFonts w:ascii="Arial" w:hAnsi="Arial" w:cs="Arial"/>
          <w:lang w:val="eu-ES" w:eastAsia="eu-ES"/>
        </w:rPr>
        <w:t xml:space="preserve"> </w:t>
      </w:r>
      <w:r w:rsidRPr="0000392F">
        <w:rPr>
          <w:rFonts w:ascii="Arial" w:hAnsi="Arial" w:cs="Arial"/>
          <w:b/>
          <w:lang w:val="eu-ES" w:eastAsia="eu-ES"/>
        </w:rPr>
        <w:t>DOPINAREN AURKAKO EUSKAL AGENTZIAREN</w:t>
      </w:r>
      <w:r w:rsidRPr="0000392F">
        <w:rPr>
          <w:rFonts w:ascii="Arial" w:hAnsi="Arial" w:cs="Arial"/>
          <w:lang w:val="eu-ES" w:eastAsia="eu-ES"/>
        </w:rPr>
        <w:t xml:space="preserve"> izenean eta hura ordezkatuz. Agentzia Eusko Jaurlaritzaren Gazteria eta Kirol Zuzendaritzari atxikitako administrazio-zerbitzua da (egoitza: Makaletako Etorbidea z.g., 48992 Getxo - Bizkaia).</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 xml:space="preserve">Bi alderdiek elkarri onartu diote Hitzarmen hau sinatzeko beharrezko gaitasuna eta gaitasun nahikoa dutela, eta honako hau </w:t>
      </w:r>
    </w:p>
    <w:p w:rsidR="0000392F" w:rsidRPr="0000392F" w:rsidRDefault="0000392F" w:rsidP="0000392F">
      <w:pPr>
        <w:jc w:val="both"/>
        <w:rPr>
          <w:rFonts w:ascii="Arial" w:hAnsi="Arial" w:cs="Arial"/>
          <w:lang w:val="eu-ES" w:eastAsia="eu-ES"/>
        </w:rPr>
      </w:pPr>
    </w:p>
    <w:p w:rsidR="0000392F" w:rsidRPr="0000392F" w:rsidRDefault="0000392F" w:rsidP="0000392F">
      <w:pPr>
        <w:jc w:val="center"/>
        <w:rPr>
          <w:rFonts w:ascii="Arial" w:hAnsi="Arial" w:cs="Arial"/>
          <w:b/>
          <w:lang w:val="eu-ES" w:eastAsia="eu-ES"/>
        </w:rPr>
      </w:pPr>
      <w:r w:rsidRPr="0000392F">
        <w:rPr>
          <w:rFonts w:ascii="Arial" w:hAnsi="Arial"/>
          <w:b/>
          <w:lang w:val="eu-ES" w:eastAsia="eu-ES"/>
        </w:rPr>
        <w:t>ADIERAZI DUTE:</w:t>
      </w:r>
    </w:p>
    <w:p w:rsidR="0000392F" w:rsidRPr="0000392F" w:rsidRDefault="0000392F" w:rsidP="0000392F">
      <w:pPr>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lang w:val="eu-ES" w:eastAsia="eu-ES"/>
        </w:rPr>
      </w:pPr>
      <w:r w:rsidRPr="0000392F">
        <w:rPr>
          <w:rFonts w:ascii="Arial" w:hAnsi="Arial"/>
          <w:lang w:val="eu-ES" w:eastAsia="eu-ES"/>
        </w:rPr>
        <w:t>Euskal Federazioak dopina prebenitzea, kontrolatzea eta zehatzea du bere eginkizunen artean. Administrazio Publikoak eskuordetutakoen artean dago eginkizun hori.</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lang w:val="eu-ES" w:eastAsia="eu-ES"/>
        </w:rPr>
      </w:pPr>
      <w:r w:rsidRPr="0000392F">
        <w:rPr>
          <w:rFonts w:ascii="Arial" w:hAnsi="Arial"/>
          <w:lang w:val="eu-ES" w:eastAsia="eu-ES"/>
        </w:rPr>
        <w:t>Dopinaren Aurkako Euskal Agentzia Euskal Autonomia Erkidegoko Administrazio Publikoaren administrazio-zerbitzu bat da, eta haren bidez burutzen dira legez aurreikusitako jardun jakin batzuk, dopatzearen prebentzioarekin, kontrolarekin eta zehapenarekin lotutakoak.</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lang w:val="eu-ES" w:eastAsia="eu-ES"/>
        </w:rPr>
      </w:pPr>
      <w:r w:rsidRPr="0000392F">
        <w:rPr>
          <w:rFonts w:ascii="Arial" w:hAnsi="Arial"/>
          <w:lang w:val="eu-ES" w:eastAsia="eu-ES"/>
        </w:rPr>
        <w:t xml:space="preserve">Kiroleko dopinaren aurkako ekainaren 21eko 12/2012 Legearen 18. artikuluaren arabera euskal federazioei dagokie federatutako lehiaketei dagozkien kontrolak burutzeko beharrezko jardunak egitea; dena </w:t>
      </w:r>
      <w:proofErr w:type="spellStart"/>
      <w:r w:rsidRPr="0000392F">
        <w:rPr>
          <w:rFonts w:ascii="Arial" w:hAnsi="Arial"/>
          <w:lang w:val="eu-ES" w:eastAsia="eu-ES"/>
        </w:rPr>
        <w:t>den</w:t>
      </w:r>
      <w:proofErr w:type="spellEnd"/>
      <w:r w:rsidRPr="0000392F">
        <w:rPr>
          <w:rFonts w:ascii="Arial" w:hAnsi="Arial"/>
          <w:lang w:val="eu-ES" w:eastAsia="eu-ES"/>
        </w:rPr>
        <w:t>, behar besteko baliabiderik ez dagoenean edo federazioaren beraren egiturak hala justifikatzen duenean, eginkizun hori Euskal Autonomia Erkidegoko Administrazio Publikoak berak beteko du.</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lang w:val="eu-ES" w:eastAsia="eu-ES"/>
        </w:rPr>
      </w:pPr>
      <w:r w:rsidRPr="0000392F">
        <w:rPr>
          <w:rFonts w:ascii="Arial" w:hAnsi="Arial"/>
          <w:lang w:val="eu-ES" w:eastAsia="eu-ES"/>
        </w:rPr>
        <w:t>Kiroleko dopinaren aurkako ekainaren 21eko 12/2012 Legearen 6. artikuluak ezartzen du euskal federazioek beren ahalbideen arabera izan beharko dituztela zehazturik, dopinaren alorreko administrazio-arloko eginkizun publikoak betetzeko, dopinaren aurkako dagozkion programak, xedapenak eta organoak. Manu horrek adierazten duenez, “</w:t>
      </w:r>
      <w:r w:rsidRPr="0000392F">
        <w:rPr>
          <w:rFonts w:ascii="Arial" w:hAnsi="Arial"/>
          <w:i/>
          <w:lang w:val="eu-ES" w:eastAsia="eu-ES"/>
        </w:rPr>
        <w:t xml:space="preserve">horretarako Euskal Autonomia Erkidegoko Administrazio Publikoari laguntza tekniko eta ekonomikoa eskatzeko aukera izango dute”.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i/>
          <w:lang w:val="eu-ES" w:eastAsia="eu-ES"/>
        </w:rPr>
      </w:pPr>
      <w:r w:rsidRPr="0000392F">
        <w:rPr>
          <w:rFonts w:ascii="Arial" w:hAnsi="Arial"/>
          <w:lang w:val="eu-ES" w:eastAsia="eu-ES"/>
        </w:rPr>
        <w:t xml:space="preserve">Kiroletako dopinaren aurkako ekainaren 21ko 12/2012 Legearen 6. artikuluaren 3. </w:t>
      </w:r>
      <w:proofErr w:type="spellStart"/>
      <w:r w:rsidRPr="0000392F">
        <w:rPr>
          <w:rFonts w:ascii="Arial" w:hAnsi="Arial"/>
          <w:lang w:val="eu-ES" w:eastAsia="eu-ES"/>
        </w:rPr>
        <w:t>idatz-zatiak</w:t>
      </w:r>
      <w:proofErr w:type="spellEnd"/>
      <w:r w:rsidRPr="0000392F">
        <w:rPr>
          <w:rFonts w:ascii="Arial" w:hAnsi="Arial"/>
          <w:lang w:val="eu-ES" w:eastAsia="eu-ES"/>
        </w:rPr>
        <w:t xml:space="preserve"> ezartzen duenez: “</w:t>
      </w:r>
      <w:r w:rsidRPr="0000392F">
        <w:rPr>
          <w:rFonts w:ascii="Arial" w:hAnsi="Arial"/>
          <w:i/>
          <w:lang w:val="eu-ES" w:eastAsia="eu-ES"/>
        </w:rPr>
        <w:t>Euskadiko edo lurralde bateko kirol-federazio batek edo beste kirol-erakunde batek ez badu bere gain hartzen dopinaren arloan duen eginkizun publikoa, Euskal Autonomia Erkidegoko Administrazioak esku hartuko du, lege honen 10. artikuluan esaten den moduan”.</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i/>
          <w:lang w:val="eu-ES" w:eastAsia="eu-ES"/>
        </w:rPr>
      </w:pPr>
      <w:r w:rsidRPr="0000392F">
        <w:rPr>
          <w:rFonts w:ascii="Arial" w:hAnsi="Arial"/>
          <w:lang w:val="eu-ES" w:eastAsia="eu-ES"/>
        </w:rPr>
        <w:t>Euskadiko kirol-federazioak arautzen dituen urtarrilaren 31ko 16/2006 Dekretuaren 16.1 artikuluak honako hau ezartzen du: “</w:t>
      </w:r>
      <w:r w:rsidRPr="0000392F">
        <w:rPr>
          <w:rFonts w:ascii="Arial" w:hAnsi="Arial"/>
          <w:i/>
          <w:lang w:val="eu-ES" w:eastAsia="eu-ES"/>
        </w:rPr>
        <w:t xml:space="preserve">Lurraldeko federazioek eta Euskadiko federazioek euren funtzioak, hurrenez </w:t>
      </w:r>
      <w:proofErr w:type="spellStart"/>
      <w:r w:rsidRPr="0000392F">
        <w:rPr>
          <w:rFonts w:ascii="Arial" w:hAnsi="Arial"/>
          <w:i/>
          <w:lang w:val="eu-ES" w:eastAsia="eu-ES"/>
        </w:rPr>
        <w:t>hurren</w:t>
      </w:r>
      <w:proofErr w:type="spellEnd"/>
      <w:r w:rsidRPr="0000392F">
        <w:rPr>
          <w:rFonts w:ascii="Arial" w:hAnsi="Arial"/>
          <w:i/>
          <w:lang w:val="eu-ES" w:eastAsia="eu-ES"/>
        </w:rPr>
        <w:t>, lurralde historikoetako foru-organoekiko eta Eusko Jaurlaritzako organikoekiko lankidetzan beteko dituzte. Horretarako, elkarrekin</w:t>
      </w:r>
      <w:r w:rsidRPr="0000392F">
        <w:rPr>
          <w:lang w:val="eu-ES" w:eastAsia="eu-ES"/>
        </w:rPr>
        <w:t xml:space="preserve"> </w:t>
      </w:r>
      <w:r w:rsidRPr="0000392F">
        <w:rPr>
          <w:rFonts w:ascii="Arial" w:hAnsi="Arial"/>
          <w:i/>
          <w:u w:val="single"/>
          <w:lang w:val="eu-ES" w:eastAsia="eu-ES"/>
        </w:rPr>
        <w:t>lankidetza-hitzarmenak</w:t>
      </w:r>
      <w:r w:rsidRPr="0000392F">
        <w:rPr>
          <w:lang w:val="eu-ES" w:eastAsia="eu-ES"/>
        </w:rPr>
        <w:t xml:space="preserve"> </w:t>
      </w:r>
      <w:r w:rsidRPr="0000392F">
        <w:rPr>
          <w:rFonts w:ascii="Arial" w:hAnsi="Arial"/>
          <w:i/>
          <w:lang w:val="eu-ES" w:eastAsia="eu-ES"/>
        </w:rPr>
        <w:t>egin ahal izango dituzte, helburuak, kirol-programak, aurrekontuak eta eskuordeturiko funtzio publikoei zuzenean loturiko gainerako alderdiak zehazteko. Hitzarmen horien izaera juridiko administratiboa izango da.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2"/>
          <w:numId w:val="6"/>
        </w:numPr>
        <w:ind w:left="426" w:firstLine="0"/>
        <w:contextualSpacing/>
        <w:jc w:val="both"/>
        <w:rPr>
          <w:rFonts w:ascii="Arial" w:hAnsi="Arial" w:cs="Arial"/>
          <w:lang w:val="eu-ES" w:eastAsia="eu-ES"/>
        </w:rPr>
      </w:pPr>
      <w:r w:rsidRPr="0000392F">
        <w:rPr>
          <w:rFonts w:ascii="Arial" w:hAnsi="Arial"/>
          <w:lang w:val="eu-ES" w:eastAsia="eu-ES"/>
        </w:rPr>
        <w:t xml:space="preserve">Aurreko </w:t>
      </w:r>
      <w:proofErr w:type="spellStart"/>
      <w:r w:rsidRPr="0000392F">
        <w:rPr>
          <w:rFonts w:ascii="Arial" w:hAnsi="Arial"/>
          <w:lang w:val="eu-ES" w:eastAsia="eu-ES"/>
        </w:rPr>
        <w:t>idatz-zatietan</w:t>
      </w:r>
      <w:proofErr w:type="spellEnd"/>
      <w:r w:rsidRPr="0000392F">
        <w:rPr>
          <w:rFonts w:ascii="Arial" w:hAnsi="Arial"/>
          <w:lang w:val="eu-ES" w:eastAsia="eu-ES"/>
        </w:rPr>
        <w:t xml:space="preserve"> adierazitakoa aztertuta, dokumentu hau sinatzen duten alderdiek lankidetza-protokolo hau formalizatzea erabaki dute. Honako honako </w:t>
      </w:r>
      <w:proofErr w:type="spellStart"/>
      <w:r w:rsidRPr="0000392F">
        <w:rPr>
          <w:rFonts w:ascii="Arial" w:hAnsi="Arial"/>
          <w:lang w:val="eu-ES" w:eastAsia="eu-ES"/>
        </w:rPr>
        <w:t>estipulazio</w:t>
      </w:r>
      <w:proofErr w:type="spellEnd"/>
      <w:r w:rsidRPr="0000392F">
        <w:rPr>
          <w:rFonts w:ascii="Arial" w:hAnsi="Arial"/>
          <w:lang w:val="eu-ES" w:eastAsia="eu-ES"/>
        </w:rPr>
        <w:t xml:space="preserve"> hauek arautuko dute protokoloa:</w:t>
      </w:r>
    </w:p>
    <w:p w:rsidR="0000392F" w:rsidRPr="0000392F" w:rsidRDefault="0000392F" w:rsidP="0000392F">
      <w:pPr>
        <w:jc w:val="both"/>
        <w:rPr>
          <w:rFonts w:ascii="Arial" w:hAnsi="Arial" w:cs="Arial"/>
          <w:lang w:val="eu-ES" w:eastAsia="eu-ES"/>
        </w:rPr>
      </w:pPr>
    </w:p>
    <w:p w:rsidR="0000392F" w:rsidRPr="0000392F" w:rsidRDefault="0000392F" w:rsidP="0000392F">
      <w:pPr>
        <w:jc w:val="center"/>
        <w:rPr>
          <w:rFonts w:ascii="Arial" w:hAnsi="Arial" w:cs="Arial"/>
          <w:b/>
          <w:lang w:val="eu-ES" w:eastAsia="eu-ES"/>
        </w:rPr>
      </w:pPr>
      <w:r w:rsidRPr="0000392F">
        <w:rPr>
          <w:rFonts w:ascii="Arial" w:hAnsi="Arial"/>
          <w:b/>
          <w:lang w:val="eu-ES" w:eastAsia="eu-ES"/>
        </w:rPr>
        <w:t>ESTIPULAZIOAK</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b/>
          <w:lang w:val="eu-ES" w:eastAsia="eu-ES"/>
        </w:rPr>
      </w:pPr>
      <w:r w:rsidRPr="0000392F">
        <w:rPr>
          <w:rFonts w:ascii="Arial" w:hAnsi="Arial"/>
          <w:b/>
          <w:lang w:val="eu-ES" w:eastAsia="eu-ES"/>
        </w:rPr>
        <w:t>LEHENA- Xedea.</w:t>
      </w:r>
    </w:p>
    <w:p w:rsidR="0000392F" w:rsidRPr="0000392F" w:rsidRDefault="0000392F" w:rsidP="0000392F">
      <w:pPr>
        <w:jc w:val="both"/>
        <w:rPr>
          <w:rFonts w:ascii="Arial" w:hAnsi="Arial" w:cs="Arial"/>
          <w:b/>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Dokumentu honen xedea da Euskal Federazioaren eta Dopinaren Aurkako Euskal Agentziaren arteko lankidetza-esparrua ezartzea dopinaren aurkako borrokari dagokionez.</w:t>
      </w:r>
    </w:p>
    <w:p w:rsidR="0000392F" w:rsidRPr="0000392F" w:rsidRDefault="0000392F" w:rsidP="0000392F">
      <w:pPr>
        <w:jc w:val="both"/>
        <w:rPr>
          <w:rFonts w:ascii="Arial" w:hAnsi="Arial" w:cs="Arial"/>
          <w:b/>
          <w:lang w:val="eu-ES" w:eastAsia="eu-ES"/>
        </w:rPr>
      </w:pPr>
    </w:p>
    <w:p w:rsidR="0000392F" w:rsidRPr="0000392F" w:rsidRDefault="0000392F" w:rsidP="0000392F">
      <w:pPr>
        <w:jc w:val="both"/>
        <w:rPr>
          <w:rFonts w:ascii="Arial" w:hAnsi="Arial" w:cs="Arial"/>
          <w:b/>
          <w:lang w:val="eu-ES" w:eastAsia="eu-ES"/>
        </w:rPr>
      </w:pPr>
      <w:r w:rsidRPr="0000392F">
        <w:rPr>
          <w:rFonts w:ascii="Arial" w:hAnsi="Arial"/>
          <w:b/>
          <w:lang w:val="eu-ES" w:eastAsia="eu-ES"/>
        </w:rPr>
        <w:t>BIGARRENA.- Euskal Federazioaren betebeharrak.</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Euskal Federazioak honako zeregin hauek bete beharko ditu, bere organo sozialen nahitaezko erabakien bidez:</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 xml:space="preserve">Dopinaren aurkako Erregelamendu bat barrurako onartzea, horretarako Dopinaren Aurkako Euskal Agentziak landutako ereduari jarraituz. Kirol-federazioan onartu ondoren, federazio horrek beharrezkoak diren jardun guztiak egingo ditu arau multzo horrek indarra eta eraginkortasuna izan dezan administrazio-onarpenaren ondoren eta Euskadiko Kirol Elkarteen Erregistroan inskribatu ondoren.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 xml:space="preserve">Kasuan kasu, kirol-federazioaren barruan une bakoitzean indarrean dagoen Dopinaren aurkako Erregelamendua aldatzea, beharrezkoa izanez gero, </w:t>
      </w:r>
      <w:proofErr w:type="spellStart"/>
      <w:r w:rsidRPr="0000392F">
        <w:rPr>
          <w:rFonts w:ascii="Arial" w:hAnsi="Arial"/>
          <w:lang w:val="eu-ES" w:eastAsia="eu-ES"/>
        </w:rPr>
        <w:lastRenderedPageBreak/>
        <w:t>erregelamentazio</w:t>
      </w:r>
      <w:proofErr w:type="spellEnd"/>
      <w:r w:rsidRPr="0000392F">
        <w:rPr>
          <w:rFonts w:ascii="Arial" w:hAnsi="Arial"/>
          <w:lang w:val="eu-ES" w:eastAsia="eu-ES"/>
        </w:rPr>
        <w:t xml:space="preserve"> hori aplikagarriak diren indarreko arau-xedapenetara egokitzeko, horretarako Dopinaren Aurkako Euskal Agentziak adierazitako jarraibideak betez. Euskal federazioen erregelamendu-aldaketa horiek onartu ondoren, beharrezkoak diren jardun guztiak egin behako dira aldaketa horiek indarra eta eraginkortasuna izan dezaten administrazio-onarpenaren ondoren eta Euskadiko Kirol Elkarteen Erregistroan inskribatu ondoren.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 xml:space="preserve">Dopinaren Aurkako Euskal Agentziari laguntzea agentziak zehazten edo burutzen dituen jardunetan, bereziki ezartzen diren dopatzearen aurkako kontrolei dagokienez. Ildo horretan, burutuko diren dopatzearen aurkako kontrolak Dopinaren Aurkako Euskal Agentziak libreki eta berak aukeratuta zehazten direnak izatea onartuko du, eta horrek barnean hartzen du dopinaren aurkako kontrolak zer lehiaketatan egingo diren hautatzea edo lehiaketatik kanpoko dopinaren aurkako kontrolak zer unetan egingo diren hautatzea, lehiaketan zein lehiaketatik kanpo dopin-kontrolak nori egingo zaizkion zehaztea, burutuko diren dopinaren aurkako kontrolen motak finkatzea, eta abar.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 xml:space="preserve">Dopinaren Aurkako Euskal Agentziari laguntzea beharrezkoak diren ekintza eta jardun guztiak burutzeko aurreikusitakoa bete dadin dopinaren aurkako borrokaren arloan indarrean dauden araudi eta </w:t>
      </w:r>
      <w:proofErr w:type="spellStart"/>
      <w:r w:rsidRPr="0000392F">
        <w:rPr>
          <w:rFonts w:ascii="Arial" w:hAnsi="Arial"/>
          <w:lang w:val="eu-ES" w:eastAsia="eu-ES"/>
        </w:rPr>
        <w:t>erregelamentazioetan</w:t>
      </w:r>
      <w:proofErr w:type="spellEnd"/>
      <w:r w:rsidRPr="0000392F">
        <w:rPr>
          <w:rFonts w:ascii="Arial" w:hAnsi="Arial"/>
          <w:lang w:val="eu-ES" w:eastAsia="eu-ES"/>
        </w:rPr>
        <w:t xml:space="preserve">.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Dopinaren Aurkako Euskal Agentziari laguntzea agentziak diziplina-espediente zehatzaileak hasi, izapidetu eta ebatzi ditzan dopin arau-hausteei dagokienez, dokumentu honetan xedatutakoaren arabera.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Dopinaren Aurkako Euskal Agentziak argitaratzen duen informazio eta dokumentazio guztia zabaltzea.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Dopinaren Aurkako Euskal Agentziak antolatzen dituen dibulgazioko, prestakuntzako eta sentsibilizazioko kanpaina eta jardunaldi guztietan parte hartzea.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Dopinaren Aurkako Euskal Agentziari jakinaraztea ezagunak diren informazio edo datu guztiak dopinaren aurkako borrokaren esparruari dagokionez eta, batez ere, dopatzearen aurkako arauekiko ustezko arau-hausteak izan daitezkeenak.</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4"/>
        </w:numPr>
        <w:contextualSpacing/>
        <w:jc w:val="both"/>
        <w:rPr>
          <w:rFonts w:ascii="Arial" w:hAnsi="Arial" w:cs="Arial"/>
          <w:lang w:val="eu-ES" w:eastAsia="eu-ES"/>
        </w:rPr>
      </w:pPr>
      <w:r w:rsidRPr="0000392F">
        <w:rPr>
          <w:rFonts w:ascii="Arial" w:hAnsi="Arial"/>
          <w:lang w:val="eu-ES" w:eastAsia="eu-ES"/>
        </w:rPr>
        <w:t xml:space="preserve">Eta, oro har, alor horretan indarrean dauden arau-xedapenetan ezarritako dopinaren aurkako borrokarekin lotuta dauden betebeharrak betetzea. </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b/>
          <w:lang w:val="eu-ES" w:eastAsia="eu-ES"/>
        </w:rPr>
      </w:pPr>
      <w:r w:rsidRPr="0000392F">
        <w:rPr>
          <w:rFonts w:ascii="Arial" w:hAnsi="Arial"/>
          <w:b/>
          <w:lang w:val="eu-ES" w:eastAsia="eu-ES"/>
        </w:rPr>
        <w:t>HIRUGARRENA.- Dopinaren Aurkako Euskal Agentziaren betebeharrak.</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Honako zeregin hauek bete beharko ditu Dopinaren Aurkako Euskal Agentziak:</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Dopinaren Aurkako Erregelamendu tipoa edo estandarra lantzea euskal federazioak bere baitan onar dezan. Dopinaren aurkako arloan indarrean dauden arau-xedapenak errespetatuko ditu erregelamendu horrek.</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lastRenderedPageBreak/>
        <w:t xml:space="preserve">Dopinaren Aurkako Erregelamenduaren aldaketa-proposamenak lantzea euskal federazioarentzat, erakunde horrek, kasuan </w:t>
      </w:r>
      <w:proofErr w:type="spellStart"/>
      <w:r w:rsidRPr="0000392F">
        <w:rPr>
          <w:rFonts w:ascii="Arial" w:hAnsi="Arial"/>
          <w:lang w:val="eu-ES" w:eastAsia="eu-ES"/>
        </w:rPr>
        <w:t>kasu</w:t>
      </w:r>
      <w:proofErr w:type="spellEnd"/>
      <w:r w:rsidRPr="0000392F">
        <w:rPr>
          <w:rFonts w:ascii="Arial" w:hAnsi="Arial"/>
          <w:lang w:val="eu-ES" w:eastAsia="eu-ES"/>
        </w:rPr>
        <w:t xml:space="preserve">, bere baitan egoki dezan </w:t>
      </w:r>
      <w:proofErr w:type="spellStart"/>
      <w:r w:rsidRPr="0000392F">
        <w:rPr>
          <w:rFonts w:ascii="Arial" w:hAnsi="Arial"/>
          <w:lang w:val="eu-ES" w:eastAsia="eu-ES"/>
        </w:rPr>
        <w:t>erregelamentazio</w:t>
      </w:r>
      <w:proofErr w:type="spellEnd"/>
      <w:r w:rsidRPr="0000392F">
        <w:rPr>
          <w:rFonts w:ascii="Arial" w:hAnsi="Arial"/>
          <w:lang w:val="eu-ES" w:eastAsia="eu-ES"/>
        </w:rPr>
        <w:t xml:space="preserve"> hori aplikagarriak diren arau-xedapenetara.</w:t>
      </w:r>
    </w:p>
    <w:p w:rsidR="0000392F" w:rsidRPr="0000392F" w:rsidRDefault="0000392F" w:rsidP="0000392F">
      <w:pPr>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 xml:space="preserve">Dopatzearen aurkako kontrolen programa bat burutzea, dopinaren aurkako kontrol horiek abiarazteko eta garatzeko sortutako gastu guztiak berak ordainduko dituelarik. Ildo horretan, burutuko diren dopatzearen aurkako kontrolak Dopinaren Aurkako Euskal Agentziak libreki eta berak aukeratuta zehazten direnak izatea onartuko du, eta horrek barnean hartzen du dopinaren aurkako kontrolak zer lehiaketatan egingo diren hautatzea edo lehiaketatik kanpoko dopinaren aurkako kontrolak zer unetan egingo diren hautatzea, lehiaketan zein lehiaketatik kanpo dopin-kontrolak nori egingo zaizkion zehaztea, burutuko diren dopinaren aurkako kontrolen motak finkatzea, eta abar.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 xml:space="preserve">Euskal Federazioari laguntzea beharrezkoak diren ekintza eta jardun guztiak burutzeko aurreikusitakoa bete dadin dopinaren aurkako borrokaren arloan indarrean dauden araudi eta </w:t>
      </w:r>
      <w:proofErr w:type="spellStart"/>
      <w:r w:rsidRPr="0000392F">
        <w:rPr>
          <w:rFonts w:ascii="Arial" w:hAnsi="Arial"/>
          <w:lang w:val="eu-ES" w:eastAsia="eu-ES"/>
        </w:rPr>
        <w:t>erregelamentazioetan</w:t>
      </w:r>
      <w:proofErr w:type="spellEnd"/>
      <w:r w:rsidRPr="0000392F">
        <w:rPr>
          <w:rFonts w:ascii="Arial" w:hAnsi="Arial"/>
          <w:lang w:val="eu-ES" w:eastAsia="eu-ES"/>
        </w:rPr>
        <w:t xml:space="preserve">.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Dopatze arau-hausteekin lotutako diziplina-espediente zehatzaileen hasiera, izapidetzea eta ebazpena burutzea dokumentu honetan xedatutakoaren arabera, betiere euskal federazioaren jardunaren esparru subjektiboaren, materialaren eta objektiboaren barruan dauden gaiak badira.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Erabilera Terapeutikoko Baimenen Euskal Batzordearen bidez burutzea Erabilera Terapeutikoko Baimenak hartzeko, ebaluatzeko, eta emateko edo ukatzeko prozedura.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Dopatzearen prebentzioaren eta haren aurkako borrokaren arloan beharrezkoa den informazioa eta dokumentazioa aldatzea.</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Dibulgazioko, prestakuntzako eta sentsibilizazioko kanpainak eta jardunaldiak antolatzea dopatzearen aurkako borrokari dagokionez.</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Euskal federazioari jakinaraztea dopatzearen aurkako borrokaren esparruarekin lotuta ezagunak diren informazio eta datu guztiak.</w:t>
      </w: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 xml:space="preserve"> Etengabeko aholkularitza-zerbitzu bat izatea euskal federazioari eta haren kideei eta pertsona federatuei laguntzeko dopatzearen prebentzioko, kontroleko eta haren aurkako borrokako esparruari dagokionez.</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 xml:space="preserve">Beharrezko bitartekoak eta kideak izatea lankidetza-protokolo honetan hartutako konpromisoak eta betebeharrak betetzeko. </w:t>
      </w:r>
    </w:p>
    <w:p w:rsidR="0000392F" w:rsidRPr="0000392F" w:rsidRDefault="0000392F" w:rsidP="0000392F">
      <w:pPr>
        <w:jc w:val="both"/>
        <w:rPr>
          <w:rFonts w:ascii="Arial" w:hAnsi="Arial" w:cs="Arial"/>
          <w:lang w:val="eu-ES" w:eastAsia="eu-ES"/>
        </w:rPr>
      </w:pPr>
    </w:p>
    <w:p w:rsidR="0000392F" w:rsidRPr="0000392F" w:rsidRDefault="0000392F" w:rsidP="0000392F">
      <w:pPr>
        <w:numPr>
          <w:ilvl w:val="0"/>
          <w:numId w:val="5"/>
        </w:numPr>
        <w:contextualSpacing/>
        <w:jc w:val="both"/>
        <w:rPr>
          <w:rFonts w:ascii="Arial" w:hAnsi="Arial" w:cs="Arial"/>
          <w:lang w:val="eu-ES" w:eastAsia="eu-ES"/>
        </w:rPr>
      </w:pPr>
      <w:r w:rsidRPr="0000392F">
        <w:rPr>
          <w:rFonts w:ascii="Arial" w:hAnsi="Arial"/>
          <w:lang w:val="eu-ES" w:eastAsia="eu-ES"/>
        </w:rPr>
        <w:t xml:space="preserve">Eta, oro har, alor horretan indarrean dauden arau-xedapenetan ezarritako dopinaren aurkako borrokarekin lotuta dauden betebeharrak betetzea. </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b/>
          <w:bCs/>
          <w:lang w:val="eu-ES" w:eastAsia="eu-ES"/>
        </w:rPr>
      </w:pPr>
      <w:r w:rsidRPr="0000392F">
        <w:rPr>
          <w:rFonts w:ascii="Arial" w:hAnsi="Arial"/>
          <w:b/>
          <w:lang w:val="eu-ES" w:eastAsia="eu-ES"/>
        </w:rPr>
        <w:t>LAUGARRENA.- Diziplina-espediente zehatzaileak dopatzearen aurkako arauen ustezko arau-hausteak direla-eta.</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lastRenderedPageBreak/>
        <w:t xml:space="preserve">1.- Alderdiek ezartzen dute dopatzearen aurkako arauen ustezko arau-hausteen inguruko espedienteen diziplina-ahalmenari buruzko alderdi guztiak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aurreikusitakoaren arabera burutuko direla. Hain zuzen, Euskadiko kirol-federazioak arautzen dituen urtarrilaren 31ko 16/2006 Dekretuaren 16.1 artikuluan aurreikusitakoaren babespean landu da </w:t>
      </w:r>
      <w:proofErr w:type="spellStart"/>
      <w:r w:rsidRPr="0000392F">
        <w:rPr>
          <w:rFonts w:ascii="Arial" w:hAnsi="Arial"/>
          <w:lang w:val="eu-ES" w:eastAsia="eu-ES"/>
        </w:rPr>
        <w:t>estipulazio</w:t>
      </w:r>
      <w:proofErr w:type="spellEnd"/>
      <w:r w:rsidRPr="0000392F">
        <w:rPr>
          <w:rFonts w:ascii="Arial" w:hAnsi="Arial"/>
          <w:lang w:val="eu-ES" w:eastAsia="eu-ES"/>
        </w:rPr>
        <w:t xml:space="preserve"> hau.  Horren arabera, protokolo hau hitzarmen </w:t>
      </w:r>
      <w:proofErr w:type="spellStart"/>
      <w:r w:rsidRPr="0000392F">
        <w:rPr>
          <w:rFonts w:ascii="Arial" w:hAnsi="Arial"/>
          <w:lang w:val="eu-ES" w:eastAsia="eu-ES"/>
        </w:rPr>
        <w:t>juridiko-administratibotzat</w:t>
      </w:r>
      <w:proofErr w:type="spellEnd"/>
      <w:r w:rsidRPr="0000392F">
        <w:rPr>
          <w:rFonts w:ascii="Arial" w:hAnsi="Arial"/>
          <w:lang w:val="eu-ES" w:eastAsia="eu-ES"/>
        </w:rPr>
        <w:t xml:space="preserve"> hartuko da arau-manu horretan aurreikusitakoaren ondorioetarako.</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2.- -Alderdiek ezartzen dute dopatzearen aurkako arauen ustezko arau-hausteekin lotutako gaien diziplina-epaitzeari dagozkion lan guztiak Dopinaren Aurkako Euskal Agentziak burutuko dituela, betiere euskal federazioaren jardun subjektiboko, materialeko eta objektiboko esparruaren barruan dauden gaiak badira.</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3.-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aurreikusitakoari jarraiki Dopinaren Aurkako Euskal Agentziak egindako dopatzearen aurkako arauen ustezko arau-hausteen diziplina-ahalmena egikaritzean, erakunde horrek bere bitarteko pertsonal eta material propioak baliatuko ditu.  Dopinaren Aurkako Euskal Agentziak egindako diziplina-ahalmena egikaritzeko lanak agentziaren beraren kontura izango dira, eta euskal federazioak ez du zertan lan horiek mantendu edo haiengatik ezer ordaindu. </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4.- Dopinaren Aurkako Euskal Agentziak dopatzearen aurkako arauen ustezko arau-hausteak izan daitezkeen edo izatera iritsi daitezkeen gertakari edo zirkunstantzien berri badu, erakunde horrek hasiera emango dio dagokion diziplina-espedienteari, eta espedienteari hasiera emateko erabaki horren berri izango dute euskal federazioak eta interesdun izan daitezkeen gainerako pertsonek edo erakundeek. Euskal federazioak dopatzearen aurkako arauen ustezko arau-hausteak izan daitezkeen edo izatera iritsi daitezkeen gertakari edo zirkunstantzien berri badu, erakunde horrek Dopinaren Aurkako Euskal Agentziari jakinaraziko dio, eta dituen dokumentu edo informazioak aurkeztuko dizkio. </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5.- Dopinaren Aurkako Euskal Agentziak izapidetutako dopatzearen aurkako arauen arau-hausteengatiko diziplina-espedienteak hasteko eta ebazteko erabakiak agentziaren zuzendaritza duen pertsonak hartuko ditu. Diziplina-espedienteak hasteko erabakian, Dopinaren Aurkako Euskal Agentziak espedienteen </w:t>
      </w:r>
      <w:proofErr w:type="spellStart"/>
      <w:r w:rsidRPr="0000392F">
        <w:rPr>
          <w:rFonts w:ascii="Arial" w:hAnsi="Arial"/>
          <w:lang w:val="eu-ES" w:eastAsia="eu-ES"/>
        </w:rPr>
        <w:t>instruktore</w:t>
      </w:r>
      <w:proofErr w:type="spellEnd"/>
      <w:r w:rsidRPr="0000392F">
        <w:rPr>
          <w:rFonts w:ascii="Arial" w:hAnsi="Arial"/>
          <w:lang w:val="eu-ES" w:eastAsia="eu-ES"/>
        </w:rPr>
        <w:t xml:space="preserve"> gisa jarduten duen pertsona izendatuko du.</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6.- Dopinaren Aurkako Euskal Agentziak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xedatutakoaren arabera izapidetzen eta ebazten diren dopatzearen aurkako arauen ustezko arau-hausteen espedienteen izapidetzean eta ebazpenean, erakunde horrek euskal federazioaren Dopinaren Aurkako Erregelamendua aplikatuko du, baita alor horretan une bakoitzean aplikagarriak diren gainerako arau-xedapenak ere.</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7.-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xedatutakoaren arabera Dopinaren Aurkako Euskal Agentziak izapidetutako dopatzearen aurkako arauen ustezko arau-hausteen diziplina-espedienteak amaitzen dituzten ebazpenak euskal federazioari eta interesdun diren pertsona edo erakundeei jakinaraziko zaizkie.</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8.-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aurreikusitakoaren arabera Dopinaren Aurkako Euskal Agentziak izapidetutako dopatzearen aurkako arauen ustezko arau-hausteen </w:t>
      </w:r>
      <w:r w:rsidRPr="0000392F">
        <w:rPr>
          <w:rFonts w:ascii="Arial" w:hAnsi="Arial"/>
          <w:lang w:val="eu-ES" w:eastAsia="eu-ES"/>
        </w:rPr>
        <w:lastRenderedPageBreak/>
        <w:t>espedienteen ebazpenak direla-eta, euskal federazioaren Dopinaren Aurkako Erregelamenduen aurreikusitako errekurtsoak jarri ahalko dituzte interesdun direnek.</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9- </w:t>
      </w:r>
      <w:proofErr w:type="spellStart"/>
      <w:r w:rsidRPr="0000392F">
        <w:rPr>
          <w:rFonts w:ascii="Arial" w:hAnsi="Arial"/>
          <w:lang w:val="eu-ES" w:eastAsia="eu-ES"/>
        </w:rPr>
        <w:t>Estipulazio</w:t>
      </w:r>
      <w:proofErr w:type="spellEnd"/>
      <w:r w:rsidRPr="0000392F">
        <w:rPr>
          <w:rFonts w:ascii="Arial" w:hAnsi="Arial"/>
          <w:lang w:val="eu-ES" w:eastAsia="eu-ES"/>
        </w:rPr>
        <w:t xml:space="preserve"> honetan aurreikusitakoaren babespean Dopinaren Aurkako Euskal Agentziak diziplina-ahalmen zehatzailearen egikaritzapena agintari eskudunek beste jurisdikzio edo esparruetan garatuko ahalko dituzten gainerako jardunak aparte utzi gabe hartuko dira kontuan, kiroletako dopinaren aurkako ekainaren 21eko 12/2012 Legean aurreikusitako administrazio-erregimen zehatzailearen egikaritzapena barne. </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b/>
          <w:bCs/>
          <w:lang w:val="eu-ES" w:eastAsia="eu-ES"/>
        </w:rPr>
      </w:pPr>
      <w:r w:rsidRPr="0000392F">
        <w:rPr>
          <w:rFonts w:ascii="Arial" w:hAnsi="Arial"/>
          <w:b/>
          <w:lang w:val="eu-ES" w:eastAsia="eu-ES"/>
        </w:rPr>
        <w:t>BOSGARRENA.- Izaera pertsonaleko datuak babestearen arloko erantzukizun eta betebeharrak dopatzearen aurkako borrokari dagokionez.</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1.- Lankidetza-protokolo hau sinatzen duen alderdi bakoitzak aplikagarriak zaizkion arau-xedapenak bete beharko ditu izaera pertsonaleko datuak babesteko alorrean dopinaren aurkako kontrolaren edo diziplina-ahalmena egikaritzearen alorreko jardunen arabera baliatzen dituzten datu eta informazioei dagokienez. </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2.- Alderdi bakoitza baliatzen dituen fitxategien eta izaera pertsonaleko datuen tratamenduaren arduradun izango da jarduerak egiten direnean dopinaren aurkako borrokaren eta diziplina-ahalmena egikaritzearen esparruan. </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3.- Alderdi bakoitzak bestea salbuesten du izaera pertsonaleko datuen tratamenduen edozein motatako erantzukizuna eragin dezakeen edozein galera edo ez-betetze dela-eta.</w:t>
      </w:r>
    </w:p>
    <w:p w:rsidR="0000392F" w:rsidRPr="0000392F" w:rsidRDefault="0000392F" w:rsidP="0000392F">
      <w:pPr>
        <w:jc w:val="both"/>
        <w:rPr>
          <w:rFonts w:ascii="Arial" w:hAnsi="Arial" w:cs="Arial"/>
          <w:bCs/>
          <w:lang w:val="eu-ES" w:eastAsia="eu-ES"/>
        </w:rPr>
      </w:pPr>
    </w:p>
    <w:p w:rsidR="0000392F" w:rsidRPr="0000392F" w:rsidRDefault="0000392F" w:rsidP="0000392F">
      <w:pPr>
        <w:jc w:val="both"/>
        <w:rPr>
          <w:rFonts w:ascii="Arial" w:hAnsi="Arial" w:cs="Arial"/>
          <w:bCs/>
          <w:lang w:val="eu-ES" w:eastAsia="eu-ES"/>
        </w:rPr>
      </w:pPr>
      <w:r w:rsidRPr="0000392F">
        <w:rPr>
          <w:rFonts w:ascii="Arial" w:hAnsi="Arial"/>
          <w:lang w:val="eu-ES" w:eastAsia="eu-ES"/>
        </w:rPr>
        <w:t xml:space="preserve">4.- Alderdiek konpromisoa hartzen dute </w:t>
      </w:r>
      <w:proofErr w:type="spellStart"/>
      <w:r w:rsidRPr="0000392F">
        <w:rPr>
          <w:rFonts w:ascii="Arial" w:hAnsi="Arial"/>
          <w:lang w:val="eu-ES" w:eastAsia="eu-ES"/>
        </w:rPr>
        <w:t>—beharrezkoa</w:t>
      </w:r>
      <w:proofErr w:type="spellEnd"/>
      <w:r w:rsidRPr="0000392F">
        <w:rPr>
          <w:rFonts w:ascii="Arial" w:hAnsi="Arial"/>
          <w:lang w:val="eu-ES" w:eastAsia="eu-ES"/>
        </w:rPr>
        <w:t xml:space="preserve"> </w:t>
      </w:r>
      <w:proofErr w:type="spellStart"/>
      <w:r w:rsidRPr="0000392F">
        <w:rPr>
          <w:rFonts w:ascii="Arial" w:hAnsi="Arial"/>
          <w:lang w:val="eu-ES" w:eastAsia="eu-ES"/>
        </w:rPr>
        <w:t>denean—</w:t>
      </w:r>
      <w:proofErr w:type="spellEnd"/>
      <w:r w:rsidRPr="0000392F">
        <w:rPr>
          <w:rFonts w:ascii="Arial" w:hAnsi="Arial"/>
          <w:lang w:val="eu-ES" w:eastAsia="eu-ES"/>
        </w:rPr>
        <w:t xml:space="preserve"> datu pertsonalen tratamendua baimentzeko, lagapena barne, dopinaren aurkako borrokarekin lotutako prozeduraren formulario edo aktetan titularrak berak sinatutako baimenaren bidez edo dagozkion arau-xedapenetan txertatuta datuen tratamendu eta lagapenak baimentzen dituzten aurreikuspenak.</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b/>
          <w:bCs/>
          <w:lang w:val="eu-ES" w:eastAsia="eu-ES"/>
        </w:rPr>
      </w:pPr>
      <w:r w:rsidRPr="0000392F">
        <w:rPr>
          <w:rFonts w:ascii="Arial" w:hAnsi="Arial"/>
          <w:b/>
          <w:lang w:val="eu-ES" w:eastAsia="eu-ES"/>
        </w:rPr>
        <w:t>SEIGARRENA.- Iraupena.</w:t>
      </w:r>
    </w:p>
    <w:p w:rsidR="0000392F" w:rsidRPr="0000392F" w:rsidRDefault="0000392F" w:rsidP="0000392F">
      <w:pPr>
        <w:jc w:val="both"/>
        <w:rPr>
          <w:rFonts w:ascii="Arial" w:hAnsi="Arial" w:cs="Arial"/>
          <w:b/>
          <w:bCs/>
          <w:lang w:val="eu-ES" w:eastAsia="eu-ES"/>
        </w:rPr>
      </w:pPr>
    </w:p>
    <w:p w:rsidR="0000392F" w:rsidRPr="0000392F" w:rsidRDefault="0000392F" w:rsidP="0000392F">
      <w:pPr>
        <w:jc w:val="both"/>
        <w:rPr>
          <w:rFonts w:ascii="Arial" w:hAnsi="Arial" w:cs="Arial"/>
          <w:lang w:val="eu-ES" w:eastAsia="eu-ES"/>
        </w:rPr>
      </w:pPr>
      <w:r w:rsidRPr="0000392F">
        <w:rPr>
          <w:rFonts w:ascii="Arial" w:hAnsi="Arial" w:cs="Arial"/>
          <w:lang w:val="eu-ES" w:eastAsia="eu-ES"/>
        </w:rPr>
        <w:t xml:space="preserve">1.- Lankidetza-protokolo honek sinatzen den egunetik izango ditu ondorioak alderdien artean. </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cs="Arial"/>
          <w:lang w:val="eu-ES" w:eastAsia="eu-ES"/>
        </w:rPr>
        <w:t xml:space="preserve">2.- Lankidetza-protokolo honen hasierako iraupena urtebete izango da sinatzen den egunetik hasita. Dena den, ezein alderdik ez badu haren amaiera iragartzen, automatikoki luzatuko da lankidetza-protokoloa urtez </w:t>
      </w:r>
      <w:proofErr w:type="spellStart"/>
      <w:r w:rsidRPr="0000392F">
        <w:rPr>
          <w:rFonts w:ascii="Arial" w:hAnsi="Arial" w:cs="Arial"/>
          <w:lang w:val="eu-ES" w:eastAsia="eu-ES"/>
        </w:rPr>
        <w:t>urte</w:t>
      </w:r>
      <w:proofErr w:type="spellEnd"/>
      <w:r w:rsidRPr="0000392F">
        <w:rPr>
          <w:rFonts w:ascii="Arial" w:hAnsi="Arial" w:cs="Arial"/>
          <w:lang w:val="eu-ES" w:eastAsia="eu-ES"/>
        </w:rPr>
        <w:t xml:space="preserve"> etenik gabe.</w:t>
      </w:r>
    </w:p>
    <w:p w:rsidR="0000392F" w:rsidRPr="0000392F" w:rsidRDefault="0000392F" w:rsidP="0000392F">
      <w:pPr>
        <w:rPr>
          <w:lang w:val="eu-ES" w:eastAsia="eu-ES"/>
        </w:rPr>
      </w:pPr>
    </w:p>
    <w:p w:rsidR="0000392F" w:rsidRPr="0000392F" w:rsidRDefault="0000392F" w:rsidP="0000392F">
      <w:pPr>
        <w:rPr>
          <w:rFonts w:ascii="Arial" w:hAnsi="Arial"/>
          <w:b/>
          <w:lang w:val="eu-ES" w:eastAsia="eu-ES"/>
        </w:rPr>
      </w:pPr>
      <w:r w:rsidRPr="0000392F">
        <w:rPr>
          <w:rFonts w:ascii="Arial" w:hAnsi="Arial"/>
          <w:b/>
          <w:lang w:val="eu-ES" w:eastAsia="eu-ES"/>
        </w:rPr>
        <w:t>ZAZPIGARRENA.- Suntsiaraztea.</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 xml:space="preserve">1.- Lankidetza-protokoloa indarrean dagoela, hura suntsiarazteko eskatu ahalko du edozein alderdik. </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 xml:space="preserve">2.- Lankidetza-protokoloaren </w:t>
      </w:r>
      <w:proofErr w:type="spellStart"/>
      <w:r w:rsidRPr="0000392F">
        <w:rPr>
          <w:rFonts w:ascii="Arial" w:hAnsi="Arial"/>
          <w:lang w:val="eu-ES" w:eastAsia="eu-ES"/>
        </w:rPr>
        <w:t>suntsiarazpena</w:t>
      </w:r>
      <w:proofErr w:type="spellEnd"/>
      <w:r w:rsidRPr="0000392F">
        <w:rPr>
          <w:rFonts w:ascii="Arial" w:hAnsi="Arial"/>
          <w:lang w:val="eu-ES" w:eastAsia="eu-ES"/>
        </w:rPr>
        <w:t xml:space="preserve"> edozein alderdik eskatu ahalko du, betiere uste badu beste alderdiak hartutako betebehar edo konpromisoak nabarmen geratu direla bete gabe. </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lastRenderedPageBreak/>
        <w:t>3.- Alderdietako batek jakinarazitako lankidetza-protokoloaren suntsiaraztea berehala egikarituko da, eta bien arteko lotura une horretatik bertatik amaitzea eragingo du.</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4.- Lankidetza-protokoloaren suntsiaraztea alderdietako bakoitzak dopinaren aurkako borrokaren alorrean dituen betebeharrak betetzea aparte utzi gabe hartuko da kontuan, indarreko legerian xedatutakoaren arabera.</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5.- Lankidetza-hitzarmen hau suntsiarazteak ez du eragingo konpentsaziorik edo kalte-ordainik ordaintzeko edo eskatzeko betebeharrik edo eskubiderik.</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r w:rsidRPr="0000392F">
        <w:rPr>
          <w:rFonts w:ascii="Arial" w:hAnsi="Arial"/>
          <w:lang w:val="eu-ES" w:eastAsia="eu-ES"/>
        </w:rPr>
        <w:t xml:space="preserve">Eta arestian adierazitako guztiarekin bat datozela frogatzeko, alderdiek dokumentu hau sinatu dute, bi aletan, idazpuruan adierazitako tokian eta egunean. </w:t>
      </w: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p>
    <w:tbl>
      <w:tblPr>
        <w:tblW w:w="0" w:type="auto"/>
        <w:tblLook w:val="04A0" w:firstRow="1" w:lastRow="0" w:firstColumn="1" w:lastColumn="0" w:noHBand="0" w:noVBand="1"/>
      </w:tblPr>
      <w:tblGrid>
        <w:gridCol w:w="4360"/>
        <w:gridCol w:w="4360"/>
      </w:tblGrid>
      <w:tr w:rsidR="0000392F" w:rsidRPr="0000392F" w:rsidTr="00BC3C13">
        <w:tc>
          <w:tcPr>
            <w:tcW w:w="4360" w:type="dxa"/>
            <w:shd w:val="clear" w:color="auto" w:fill="auto"/>
          </w:tcPr>
          <w:p w:rsidR="0000392F" w:rsidRPr="0000392F" w:rsidRDefault="0000392F" w:rsidP="0000392F">
            <w:pPr>
              <w:jc w:val="both"/>
              <w:rPr>
                <w:rFonts w:ascii="Arial" w:hAnsi="Arial" w:cs="Arial"/>
                <w:i/>
                <w:lang w:val="eu-ES" w:eastAsia="eu-ES"/>
              </w:rPr>
            </w:pPr>
            <w:r w:rsidRPr="0000392F">
              <w:rPr>
                <w:rFonts w:ascii="Arial" w:hAnsi="Arial" w:cs="Arial"/>
                <w:i/>
                <w:lang w:val="eu-ES" w:eastAsia="eu-ES"/>
              </w:rPr>
              <w:t>EUSKAL FEDERAZIOA</w:t>
            </w:r>
          </w:p>
        </w:tc>
        <w:tc>
          <w:tcPr>
            <w:tcW w:w="4360" w:type="dxa"/>
            <w:shd w:val="clear" w:color="auto" w:fill="auto"/>
          </w:tcPr>
          <w:p w:rsidR="0000392F" w:rsidRPr="0000392F" w:rsidRDefault="0000392F" w:rsidP="0000392F">
            <w:pPr>
              <w:jc w:val="both"/>
              <w:rPr>
                <w:rFonts w:ascii="Arial" w:hAnsi="Arial" w:cs="Arial"/>
                <w:lang w:val="eu-ES" w:eastAsia="eu-ES"/>
              </w:rPr>
            </w:pPr>
            <w:r w:rsidRPr="0000392F">
              <w:rPr>
                <w:rFonts w:ascii="Arial" w:hAnsi="Arial" w:cs="Arial"/>
                <w:lang w:val="eu-ES" w:eastAsia="eu-ES"/>
              </w:rPr>
              <w:t>DOPINAREN AURKAKO</w:t>
            </w:r>
          </w:p>
        </w:tc>
      </w:tr>
      <w:tr w:rsidR="0000392F" w:rsidRPr="0000392F" w:rsidTr="00BC3C13">
        <w:tc>
          <w:tcPr>
            <w:tcW w:w="4360" w:type="dxa"/>
            <w:shd w:val="clear" w:color="auto" w:fill="auto"/>
          </w:tcPr>
          <w:p w:rsidR="0000392F" w:rsidRPr="0000392F" w:rsidRDefault="0000392F" w:rsidP="0000392F">
            <w:pPr>
              <w:jc w:val="both"/>
              <w:rPr>
                <w:rFonts w:ascii="Arial" w:hAnsi="Arial" w:cs="Arial"/>
                <w:lang w:val="eu-ES" w:eastAsia="eu-ES"/>
              </w:rPr>
            </w:pPr>
          </w:p>
        </w:tc>
        <w:tc>
          <w:tcPr>
            <w:tcW w:w="4360" w:type="dxa"/>
            <w:shd w:val="clear" w:color="auto" w:fill="auto"/>
          </w:tcPr>
          <w:p w:rsidR="0000392F" w:rsidRPr="0000392F" w:rsidRDefault="0000392F" w:rsidP="0000392F">
            <w:pPr>
              <w:jc w:val="both"/>
              <w:rPr>
                <w:rFonts w:ascii="Arial" w:hAnsi="Arial" w:cs="Arial"/>
                <w:lang w:val="eu-ES" w:eastAsia="eu-ES"/>
              </w:rPr>
            </w:pPr>
            <w:r w:rsidRPr="0000392F">
              <w:rPr>
                <w:rFonts w:ascii="Arial" w:hAnsi="Arial" w:cs="Arial"/>
                <w:lang w:val="eu-ES" w:eastAsia="eu-ES"/>
              </w:rPr>
              <w:t>EUSKAL AGENTZIA</w:t>
            </w:r>
          </w:p>
        </w:tc>
      </w:tr>
    </w:tbl>
    <w:p w:rsidR="0000392F" w:rsidRPr="0000392F" w:rsidRDefault="0000392F" w:rsidP="0000392F">
      <w:pP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center"/>
        <w:rPr>
          <w:rFonts w:ascii="Arial" w:hAnsi="Arial" w:cs="Arial"/>
          <w:i/>
          <w:lang w:val="eu-ES" w:eastAsia="eu-ES"/>
        </w:rPr>
      </w:pP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p>
    <w:p w:rsidR="0000392F" w:rsidRPr="0000392F" w:rsidRDefault="0000392F" w:rsidP="0000392F">
      <w:pPr>
        <w:jc w:val="both"/>
        <w:rPr>
          <w:rFonts w:ascii="Arial" w:hAnsi="Arial" w:cs="Arial"/>
          <w:lang w:val="eu-ES" w:eastAsia="eu-ES"/>
        </w:rPr>
      </w:pPr>
    </w:p>
    <w:p w:rsidR="0000392F" w:rsidRPr="0000392F" w:rsidRDefault="0000392F" w:rsidP="0000392F">
      <w:pPr>
        <w:rPr>
          <w:rFonts w:ascii="Arial" w:hAnsi="Arial" w:cs="Arial"/>
          <w:lang w:val="eu-ES" w:eastAsia="eu-ES"/>
        </w:rPr>
      </w:pPr>
    </w:p>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p w:rsidR="007D41B8" w:rsidRDefault="007D41B8"/>
    <w:sectPr w:rsidR="007D41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74" w:rsidRDefault="008E2F74" w:rsidP="007D41B8">
      <w:r>
        <w:separator/>
      </w:r>
    </w:p>
  </w:endnote>
  <w:endnote w:type="continuationSeparator" w:id="0">
    <w:p w:rsidR="008E2F74" w:rsidRDefault="008E2F74" w:rsidP="007D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85" w:rsidRDefault="00F41685">
    <w:pPr>
      <w:pStyle w:val="Piedepgina"/>
    </w:pPr>
    <w:r>
      <w:rPr>
        <w:noProof/>
      </w:rPr>
      <w:drawing>
        <wp:anchor distT="0" distB="0" distL="114300" distR="114300" simplePos="0" relativeHeight="251661312" behindDoc="0" locked="0" layoutInCell="1" allowOverlap="1" wp14:anchorId="45FB0CEA" wp14:editId="4B2B4C77">
          <wp:simplePos x="0" y="0"/>
          <wp:positionH relativeFrom="column">
            <wp:posOffset>1843405</wp:posOffset>
          </wp:positionH>
          <wp:positionV relativeFrom="paragraph">
            <wp:posOffset>5715</wp:posOffset>
          </wp:positionV>
          <wp:extent cx="2200275" cy="246380"/>
          <wp:effectExtent l="0" t="0" r="9525"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sko jaurlarit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246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74" w:rsidRDefault="008E2F74" w:rsidP="007D41B8">
      <w:r>
        <w:separator/>
      </w:r>
    </w:p>
  </w:footnote>
  <w:footnote w:type="continuationSeparator" w:id="0">
    <w:p w:rsidR="008E2F74" w:rsidRDefault="008E2F74" w:rsidP="007D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0" w:rsidRDefault="005F7330">
    <w:pPr>
      <w:pStyle w:val="Encabezado"/>
    </w:pPr>
  </w:p>
  <w:p w:rsidR="007D41B8" w:rsidRDefault="007D41B8">
    <w:pPr>
      <w:pStyle w:val="Encabezado"/>
    </w:pPr>
    <w:r>
      <w:rPr>
        <w:noProof/>
      </w:rPr>
      <w:drawing>
        <wp:anchor distT="0" distB="0" distL="114300" distR="114300" simplePos="0" relativeHeight="251659264" behindDoc="0" locked="0" layoutInCell="1" allowOverlap="1" wp14:anchorId="40F4BBB9" wp14:editId="07D26F78">
          <wp:simplePos x="0" y="0"/>
          <wp:positionH relativeFrom="column">
            <wp:posOffset>4157980</wp:posOffset>
          </wp:positionH>
          <wp:positionV relativeFrom="paragraph">
            <wp:posOffset>-598170</wp:posOffset>
          </wp:positionV>
          <wp:extent cx="1992874" cy="24765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874"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0AF81B" wp14:editId="52DCEF69">
          <wp:simplePos x="0" y="0"/>
          <wp:positionH relativeFrom="column">
            <wp:posOffset>-544699</wp:posOffset>
          </wp:positionH>
          <wp:positionV relativeFrom="paragraph">
            <wp:posOffset>-697230</wp:posOffset>
          </wp:positionV>
          <wp:extent cx="3648075" cy="17348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8075" cy="173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266"/>
    <w:multiLevelType w:val="hybridMultilevel"/>
    <w:tmpl w:val="F84629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4113624"/>
    <w:multiLevelType w:val="hybridMultilevel"/>
    <w:tmpl w:val="C42C70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AE40282"/>
    <w:multiLevelType w:val="hybridMultilevel"/>
    <w:tmpl w:val="A446B06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B8"/>
    <w:rsid w:val="00000D72"/>
    <w:rsid w:val="0000392F"/>
    <w:rsid w:val="001375E5"/>
    <w:rsid w:val="00492C9A"/>
    <w:rsid w:val="005F7330"/>
    <w:rsid w:val="007D41B8"/>
    <w:rsid w:val="008E2F74"/>
    <w:rsid w:val="00984783"/>
    <w:rsid w:val="00AF56DA"/>
    <w:rsid w:val="00B141BC"/>
    <w:rsid w:val="00DF2692"/>
    <w:rsid w:val="00F41685"/>
    <w:rsid w:val="00FE076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1B8"/>
    <w:pPr>
      <w:tabs>
        <w:tab w:val="center" w:pos="4536"/>
        <w:tab w:val="right" w:pos="9072"/>
      </w:tabs>
    </w:pPr>
  </w:style>
  <w:style w:type="character" w:customStyle="1" w:styleId="EncabezadoCar">
    <w:name w:val="Encabezado Car"/>
    <w:basedOn w:val="Fuentedeprrafopredeter"/>
    <w:link w:val="Encabezado"/>
    <w:uiPriority w:val="99"/>
    <w:rsid w:val="007D41B8"/>
  </w:style>
  <w:style w:type="paragraph" w:styleId="Piedepgina">
    <w:name w:val="footer"/>
    <w:basedOn w:val="Normal"/>
    <w:link w:val="PiedepginaCar"/>
    <w:uiPriority w:val="99"/>
    <w:unhideWhenUsed/>
    <w:rsid w:val="007D41B8"/>
    <w:pPr>
      <w:tabs>
        <w:tab w:val="center" w:pos="4536"/>
        <w:tab w:val="right" w:pos="9072"/>
      </w:tabs>
    </w:pPr>
  </w:style>
  <w:style w:type="character" w:customStyle="1" w:styleId="PiedepginaCar">
    <w:name w:val="Pie de página Car"/>
    <w:basedOn w:val="Fuentedeprrafopredeter"/>
    <w:link w:val="Piedepgina"/>
    <w:uiPriority w:val="99"/>
    <w:rsid w:val="007D41B8"/>
  </w:style>
  <w:style w:type="paragraph" w:styleId="Textodeglobo">
    <w:name w:val="Balloon Text"/>
    <w:basedOn w:val="Normal"/>
    <w:link w:val="TextodegloboCar"/>
    <w:uiPriority w:val="99"/>
    <w:semiHidden/>
    <w:unhideWhenUsed/>
    <w:rsid w:val="007D4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1B8"/>
    <w:rPr>
      <w:rFonts w:ascii="Tahoma" w:hAnsi="Tahoma" w:cs="Tahoma"/>
      <w:sz w:val="16"/>
      <w:szCs w:val="16"/>
    </w:rPr>
  </w:style>
  <w:style w:type="paragraph" w:styleId="Textoindependiente">
    <w:name w:val="Body Text"/>
    <w:basedOn w:val="Normal"/>
    <w:link w:val="TextoindependienteCar"/>
    <w:semiHidden/>
    <w:unhideWhenUsed/>
    <w:rsid w:val="00492C9A"/>
    <w:pPr>
      <w:jc w:val="both"/>
    </w:pPr>
    <w:rPr>
      <w:rFonts w:ascii="Arial" w:hAnsi="Arial" w:cs="Arial"/>
    </w:rPr>
  </w:style>
  <w:style w:type="character" w:customStyle="1" w:styleId="TextoindependienteCar">
    <w:name w:val="Texto independiente Car"/>
    <w:basedOn w:val="Fuentedeprrafopredeter"/>
    <w:link w:val="Textoindependiente"/>
    <w:semiHidden/>
    <w:rsid w:val="00492C9A"/>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1B8"/>
    <w:pPr>
      <w:tabs>
        <w:tab w:val="center" w:pos="4536"/>
        <w:tab w:val="right" w:pos="9072"/>
      </w:tabs>
    </w:pPr>
  </w:style>
  <w:style w:type="character" w:customStyle="1" w:styleId="EncabezadoCar">
    <w:name w:val="Encabezado Car"/>
    <w:basedOn w:val="Fuentedeprrafopredeter"/>
    <w:link w:val="Encabezado"/>
    <w:uiPriority w:val="99"/>
    <w:rsid w:val="007D41B8"/>
  </w:style>
  <w:style w:type="paragraph" w:styleId="Piedepgina">
    <w:name w:val="footer"/>
    <w:basedOn w:val="Normal"/>
    <w:link w:val="PiedepginaCar"/>
    <w:uiPriority w:val="99"/>
    <w:unhideWhenUsed/>
    <w:rsid w:val="007D41B8"/>
    <w:pPr>
      <w:tabs>
        <w:tab w:val="center" w:pos="4536"/>
        <w:tab w:val="right" w:pos="9072"/>
      </w:tabs>
    </w:pPr>
  </w:style>
  <w:style w:type="character" w:customStyle="1" w:styleId="PiedepginaCar">
    <w:name w:val="Pie de página Car"/>
    <w:basedOn w:val="Fuentedeprrafopredeter"/>
    <w:link w:val="Piedepgina"/>
    <w:uiPriority w:val="99"/>
    <w:rsid w:val="007D41B8"/>
  </w:style>
  <w:style w:type="paragraph" w:styleId="Textodeglobo">
    <w:name w:val="Balloon Text"/>
    <w:basedOn w:val="Normal"/>
    <w:link w:val="TextodegloboCar"/>
    <w:uiPriority w:val="99"/>
    <w:semiHidden/>
    <w:unhideWhenUsed/>
    <w:rsid w:val="007D4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1B8"/>
    <w:rPr>
      <w:rFonts w:ascii="Tahoma" w:hAnsi="Tahoma" w:cs="Tahoma"/>
      <w:sz w:val="16"/>
      <w:szCs w:val="16"/>
    </w:rPr>
  </w:style>
  <w:style w:type="paragraph" w:styleId="Textoindependiente">
    <w:name w:val="Body Text"/>
    <w:basedOn w:val="Normal"/>
    <w:link w:val="TextoindependienteCar"/>
    <w:semiHidden/>
    <w:unhideWhenUsed/>
    <w:rsid w:val="00492C9A"/>
    <w:pPr>
      <w:jc w:val="both"/>
    </w:pPr>
    <w:rPr>
      <w:rFonts w:ascii="Arial" w:hAnsi="Arial" w:cs="Arial"/>
    </w:rPr>
  </w:style>
  <w:style w:type="character" w:customStyle="1" w:styleId="TextoindependienteCar">
    <w:name w:val="Texto independiente Car"/>
    <w:basedOn w:val="Fuentedeprrafopredeter"/>
    <w:link w:val="Textoindependiente"/>
    <w:semiHidden/>
    <w:rsid w:val="00492C9A"/>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Ugalde Usandizaga, Dorleta</dc:creator>
  <cp:lastModifiedBy>Altube Bengoa, Elisabet</cp:lastModifiedBy>
  <cp:revision>9</cp:revision>
  <cp:lastPrinted>2015-07-17T11:34:00Z</cp:lastPrinted>
  <dcterms:created xsi:type="dcterms:W3CDTF">2015-07-17T11:35:00Z</dcterms:created>
  <dcterms:modified xsi:type="dcterms:W3CDTF">2015-07-22T08:28:00Z</dcterms:modified>
</cp:coreProperties>
</file>